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 xml:space="preserve">ТЕХНОЛОГИЧЕСКАЯ СХЕМА</w:t>
      </w:r>
    </w:p>
    <w:p>
      <w:pPr>
        <w:jc w:val="center"/>
        <w:rPr>
          <w:sz w:val="22"/>
        </w:rPr>
      </w:pPr>
      <w:r>
        <w:rPr>
          <w:sz w:val="22"/>
        </w:rPr>
        <w:t xml:space="preserve">п</w:t>
      </w:r>
      <w:r>
        <w:rPr>
          <w:sz w:val="24"/>
          <w:szCs w:val="24"/>
        </w:rPr>
        <w:t xml:space="preserve">редоставления услуги «</w:t>
      </w:r>
      <w:r>
        <w:rPr>
          <w:rFonts w:eastAsiaTheme="minorEastAsia"/>
          <w:color w:val="000000" w:themeColor="text1"/>
          <w:sz w:val="22"/>
          <w:highlight w:val="white"/>
          <w:lang w:eastAsia="ru-RU"/>
        </w:rPr>
        <w:t xml:space="preserve">Присвоение квалификационных категорий спортивных судей</w:t>
      </w:r>
      <w:r>
        <w:rPr>
          <w:sz w:val="24"/>
          <w:szCs w:val="24"/>
        </w:rPr>
        <w:t xml:space="preserve">»</w:t>
      </w:r>
    </w:p>
    <w:p>
      <w:pPr>
        <w:jc w:val="center"/>
      </w:pPr>
      <w:r>
        <w:t xml:space="preserve">  (наименование услуги)</w:t>
      </w:r>
    </w:p>
    <w:p>
      <w:pPr>
        <w:rPr>
          <w:color w:val="ff0000"/>
        </w:rPr>
      </w:pPr>
    </w:p>
    <w:tbl>
      <w:tblPr>
        <w:tblW w:w="10333" w:type="dxa"/>
        <w:tblInd w:w="-843" w:type="dxa"/>
        <w:tblLayout w:type="fixed"/>
        <w:tblLook w:val="04A0" w:firstRow="1" w:lastRow="0" w:firstColumn="1" w:lastColumn="0" w:noHBand="0" w:noVBand="1"/>
      </w:tblPr>
      <w:tblGrid>
        <w:gridCol w:w="2678"/>
        <w:gridCol w:w="7655"/>
      </w:tblGrid>
      <w:tr>
        <w:tc>
          <w:tcPr>
            <w:tcW w:w="103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firstLine="90"/>
              <w:rPr>
                <w:color w:val="ff0000"/>
                <w:sz w:val="22"/>
              </w:rPr>
            </w:pPr>
            <w:r>
              <w:rPr>
                <w:b/>
                <w:bCs/>
                <w:sz w:val="22"/>
                <w:szCs w:val="16"/>
                <w:shd w:val="clear" w:color="auto" w:fill="f2f2f2"/>
              </w:rPr>
              <w:t xml:space="preserve">Данные по услуге</w:t>
            </w:r>
          </w:p>
        </w:tc>
      </w:tr>
      <w:tr>
        <w:trPr>
          <w:trHeight w:val="57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20"/>
              <w:rPr>
                <w:szCs w:val="20"/>
              </w:rPr>
            </w:pPr>
            <w:r>
              <w:rPr>
                <w:szCs w:val="20"/>
              </w:rPr>
              <w:t xml:space="preserve">Полное наименование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Присвоение квалификационных категорий спортивных судей</w:t>
            </w:r>
          </w:p>
        </w:tc>
      </w:tr>
      <w:tr>
        <w:trPr>
          <w:trHeight w:val="55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20"/>
              <w:rPr>
                <w:szCs w:val="20"/>
              </w:rPr>
            </w:pPr>
            <w:r>
              <w:rPr>
                <w:szCs w:val="20"/>
              </w:rPr>
              <w:t xml:space="preserve">Краткое наименование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Присвоение квалификационных категорий спортивных судей</w:t>
            </w:r>
          </w:p>
          <w:p>
            <w:pPr>
              <w:rPr>
                <w:color w:val="ff0000"/>
                <w:sz w:val="22"/>
              </w:rPr>
            </w:pPr>
          </w:p>
        </w:tc>
      </w:tr>
      <w:tr>
        <w:trPr>
          <w:trHeight w:val="530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20"/>
              <w:rPr>
                <w:szCs w:val="20"/>
              </w:rPr>
            </w:pPr>
            <w:r>
              <w:rPr>
                <w:szCs w:val="20"/>
              </w:rPr>
              <w:t xml:space="preserve">ОГВ, ответственный за предоставление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>
              <w:rPr>
                <w:sz w:val="22"/>
                <w:lang w:eastAsia="ru-RU"/>
              </w:rPr>
              <w:t xml:space="preserve">Органы местного самоуправления.</w:t>
            </w:r>
          </w:p>
        </w:tc>
      </w:tr>
      <w:tr>
        <w:trPr>
          <w:trHeight w:val="38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20"/>
              <w:rPr>
                <w:szCs w:val="20"/>
              </w:rPr>
            </w:pPr>
            <w:r>
              <w:rPr>
                <w:szCs w:val="20"/>
              </w:rPr>
              <w:t xml:space="preserve">Код услуги в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5600000000170321433</w:t>
            </w:r>
          </w:p>
        </w:tc>
      </w:tr>
      <w:tr>
        <w:trPr>
          <w:trHeight w:val="53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Перечень </w:t>
            </w:r>
            <w:r>
              <w:rPr>
                <w:sz w:val="20"/>
                <w:szCs w:val="20"/>
                <w:lang w:eastAsia="ru-RU"/>
              </w:rPr>
              <w:t xml:space="preserve">подуслуг</w:t>
            </w:r>
            <w:r>
              <w:rPr>
                <w:sz w:val="20"/>
                <w:szCs w:val="20"/>
                <w:lang w:eastAsia="ru-RU"/>
              </w:rPr>
              <w:t xml:space="preserve"> в рамках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3"/>
              <w:numPr>
                <w:numId w:val="1"/>
                <w:ilvl w:val="0"/>
              </w:numPr>
              <w:rPr>
                <w:rFonts w:cs="Times New Roman CYR" w:asciiTheme="minorHAnsi" w:hAnsiTheme="minorHAnsi"/>
                <w:lang w:bidi="ru-RU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п</w:t>
            </w: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рисвоение квалификационных категорий спортивных судей</w:t>
            </w: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;</w:t>
            </w:r>
          </w:p>
          <w:p>
            <w:pPr>
              <w:pStyle w:val="a3"/>
              <w:numPr>
                <w:numId w:val="1"/>
                <w:ilvl w:val="0"/>
              </w:numPr>
              <w:rPr>
                <w:rFonts w:cs="Times New Roman CYR" w:asciiTheme="minorHAnsi" w:hAnsiTheme="minorHAnsi"/>
                <w:lang w:bidi="ru-RU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лишение</w:t>
            </w: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 квалификационных категорий спортивных судей</w:t>
            </w: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;</w:t>
            </w:r>
          </w:p>
          <w:p>
            <w:pPr>
              <w:pStyle w:val="a3"/>
              <w:numPr>
                <w:numId w:val="1"/>
                <w:ilvl w:val="0"/>
              </w:numPr>
              <w:rPr>
                <w:rStyle w:val="afb"/>
                <w:rFonts w:asciiTheme="minorHAnsi" w:hAnsiTheme="minorHAnsi"/>
                <w:lang w:bidi="ru-RU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восстановление</w:t>
            </w: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 квалификационных категорий спортивных судей</w:t>
            </w: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.</w:t>
            </w:r>
          </w:p>
          <w:p>
            <w:pPr>
              <w:pStyle w:val="a3"/>
              <w:rPr>
                <w:rFonts w:asciiTheme="minorHAnsi" w:hAnsiTheme="minorHAnsi"/>
                <w:sz w:val="22"/>
              </w:rPr>
            </w:pPr>
          </w:p>
        </w:tc>
      </w:tr>
      <w:tr>
        <w:trPr>
          <w:trHeight w:val="316"/>
        </w:trPr>
        <w:tc>
          <w:tcPr>
            <w:tcW w:w="103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Сведения о</w:t>
            </w:r>
            <w:r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</w:rPr>
              <w:t xml:space="preserve">подуслуге</w:t>
            </w:r>
            <w:r>
              <w:rPr>
                <w:b/>
                <w:sz w:val="22"/>
              </w:rPr>
              <w:t xml:space="preserve"> 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color w:val="ff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Присвоение квалификационных категорий спортивных судей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Код цели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5600000000170321597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Код процедуры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5600000000170321596</w:t>
            </w:r>
          </w:p>
        </w:tc>
      </w:tr>
      <w:tr>
        <w:trPr>
          <w:trHeight w:val="340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Сроки оказания 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right="-1"/>
              <w:jc w:val="both"/>
              <w:rPr>
                <w:szCs w:val="20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29 рабочих дней</w:t>
            </w:r>
          </w:p>
        </w:tc>
      </w:tr>
      <w:tr>
        <w:trPr>
          <w:trHeight w:val="55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Способ выдачи результата оказания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jc w:val="both"/>
              <w:rPr>
                <w:rFonts w:eastAsiaTheme="minorEastAsia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1) путем </w:t>
            </w: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личного посещения Уполномоченного органа</w:t>
            </w: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;</w:t>
            </w:r>
          </w:p>
          <w:p>
            <w:pPr>
              <w:widowControl w:val="off"/>
              <w:jc w:val="both"/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2</w:t>
            </w: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) в личном кабинете заявителя на </w:t>
            </w:r>
            <w:r>
              <w:rPr>
                <w:color w:val="000000" w:themeColor="text1"/>
                <w:sz w:val="22"/>
                <w:highlight w:val="white"/>
              </w:rPr>
              <w:t xml:space="preserve">ЕПГУ</w:t>
            </w: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 в форме электронного документа;</w:t>
            </w:r>
          </w:p>
          <w:p>
            <w:pPr>
              <w:widowControl w:val="off"/>
              <w:jc w:val="both"/>
              <w:rPr>
                <w:rFonts w:eastAsiaTheme="minorEastAsia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eastAsiaTheme="minorEastAsia"/>
                <w:color w:val="000000" w:themeColor="text1"/>
                <w:sz w:val="22"/>
                <w:highlight w:val="white"/>
                <w:lang w:val="en-US" w:eastAsia="ru-RU"/>
              </w:rPr>
              <w:t xml:space="preserve">3)</w:t>
            </w:r>
            <w:r>
              <w:rPr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путем</w:t>
            </w: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 личного посещения </w:t>
            </w:r>
            <w:r>
              <w:rPr>
                <w:szCs w:val="20"/>
              </w:rPr>
              <w:t xml:space="preserve">МФЦ</w:t>
            </w:r>
            <w:r>
              <w:rPr>
                <w:szCs w:val="20"/>
                <w:lang w:val="en-US"/>
              </w:rPr>
              <w:t xml:space="preserve">.</w:t>
            </w:r>
          </w:p>
        </w:tc>
      </w:tr>
      <w:tr>
        <w:trPr>
          <w:trHeight w:val="43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 заявителях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jc w:val="both"/>
              <w:rPr>
                <w:color w:val="ff0000"/>
                <w:szCs w:val="20"/>
              </w:rPr>
            </w:pPr>
            <w:r>
              <w:rPr>
                <w:rFonts w:ascii="Times New Roman CYR" w:hAnsi="Times New Roman CYR" w:cs="Times New Roman CYR"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региональные спортивные федерации, физкультурно-спортивные организации, включенные в перечень</w:t>
            </w:r>
          </w:p>
        </w:tc>
      </w:tr>
      <w:tr>
        <w:trPr>
          <w:trHeight w:val="52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Возможность подачи услуги представителем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Да.</w:t>
            </w:r>
          </w:p>
          <w:p>
            <w:pPr>
              <w:rPr>
                <w:szCs w:val="20"/>
              </w:rPr>
            </w:pP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Документы, предоставляемые заявителем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а) </w:t>
            </w:r>
            <w:r>
              <w:rPr>
                <w:color w:val="000000" w:themeColor="text1"/>
                <w:sz w:val="22"/>
              </w:rPr>
              <w:t xml:space="preserve">представление для присвоения квалификационной категории</w:t>
            </w:r>
            <w:r>
              <w:rPr>
                <w:color w:val="000000" w:themeColor="text1"/>
                <w:sz w:val="22"/>
                <w:highlight w:val="white"/>
              </w:rPr>
              <w:t xml:space="preserve">;</w:t>
            </w:r>
          </w:p>
          <w:p>
            <w:pPr>
              <w:ind w:firstLine="708"/>
              <w:contextualSpacing/>
              <w:jc w:val="both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б) </w:t>
            </w:r>
            <w:r>
              <w:rPr>
                <w:color w:val="000000" w:themeColor="text1"/>
                <w:sz w:val="22"/>
              </w:rPr>
              <w:t xml:space="preserve">документ, удостоверяющий личность гражданина Российской Федерации или иной документ, удостоверяющий личность гражданина Российской Федерации</w:t>
            </w:r>
            <w:r>
              <w:rPr>
                <w:color w:val="000000" w:themeColor="text1"/>
                <w:sz w:val="22"/>
                <w:highlight w:val="white"/>
              </w:rPr>
              <w:t xml:space="preserve">;</w:t>
            </w:r>
          </w:p>
          <w:p>
            <w:pPr>
              <w:ind w:firstLine="708"/>
              <w:contextualSpacing/>
              <w:jc w:val="both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в) </w:t>
            </w:r>
            <w:r>
              <w:rPr>
                <w:color w:val="000000" w:themeColor="text1"/>
                <w:sz w:val="22"/>
              </w:rPr>
              <w:t xml:space="preserve">документы, представляемые в соответствии перечнем установленным разделом III ПСС (положение о спортивных судьях</w:t>
            </w:r>
            <w:r>
              <w:rPr>
                <w:color w:val="000000" w:themeColor="text1"/>
                <w:sz w:val="22"/>
              </w:rPr>
              <w:t xml:space="preserve">, утвержденное приказом Министерства спорта Российской Федерации от 28 февраля 2017 года № 134)</w:t>
            </w:r>
            <w:r>
              <w:rPr>
                <w:color w:val="000000" w:themeColor="text1"/>
                <w:sz w:val="22"/>
                <w:highlight w:val="white"/>
              </w:rPr>
              <w:t xml:space="preserve">;</w:t>
            </w:r>
          </w:p>
          <w:p>
            <w:pPr>
              <w:ind w:firstLine="708"/>
              <w:contextualSpacing/>
              <w:jc w:val="both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г) </w:t>
            </w:r>
            <w:r>
              <w:rPr>
                <w:color w:val="000000" w:themeColor="text1"/>
                <w:sz w:val="22"/>
              </w:rPr>
              <w:t xml:space="preserve">документ, подтверждающий полномочия представителя заявителя</w:t>
            </w:r>
            <w:r>
              <w:rPr>
                <w:color w:val="000000" w:themeColor="text1"/>
                <w:sz w:val="22"/>
                <w:highlight w:val="white"/>
              </w:rPr>
              <w:t xml:space="preserve">.</w:t>
            </w:r>
          </w:p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Наличие электронного межведомственного взаимодействия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Да.</w:t>
            </w:r>
          </w:p>
        </w:tc>
      </w:tr>
      <w:tr>
        <w:trPr>
          <w:trHeight w:val="316"/>
        </w:trPr>
        <w:tc>
          <w:tcPr>
            <w:tcW w:w="103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Сведения о</w:t>
            </w:r>
            <w:r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</w:rPr>
              <w:t xml:space="preserve">подуслуге</w:t>
            </w:r>
            <w:r>
              <w:rPr>
                <w:b/>
                <w:sz w:val="22"/>
              </w:rPr>
              <w:t xml:space="preserve"> </w:t>
            </w:r>
          </w:p>
        </w:tc>
      </w:tr>
      <w:tr>
        <w:trPr>
          <w:trHeight w:val="65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color w:val="ff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ConsPlusNormal"/>
              <w:contextualSpacing/>
              <w:rPr>
                <w:rFonts w:ascii="Times New Roman" w:hAnsi="Times New Roman" w:cs="Times New Roman"/>
                <w:color w:val="ff000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Лишение квалификационной категории спортивных судей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Код цели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5600000000171725394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Код процедуры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5600000000171725333</w:t>
            </w:r>
          </w:p>
        </w:tc>
      </w:tr>
      <w:tr>
        <w:trPr>
          <w:trHeight w:val="340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Сроки оказания 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right="-1"/>
              <w:jc w:val="both"/>
              <w:rPr>
                <w:sz w:val="22"/>
                <w:highlight w:val="white"/>
              </w:rPr>
            </w:pPr>
            <w:r>
              <w:rPr>
                <w:color w:val="000000" w:themeColor="text1"/>
                <w:szCs w:val="28"/>
                <w:highlight w:val="white"/>
              </w:rPr>
              <w:t xml:space="preserve">2 месяца и 5 рабочих дней со дня поступления запроса</w:t>
            </w:r>
          </w:p>
        </w:tc>
      </w:tr>
      <w:tr>
        <w:trPr>
          <w:trHeight w:val="55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Способ выдачи результата оказания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contextualSpacing/>
              <w:jc w:val="both"/>
              <w:rPr>
                <w:rFonts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  <w:lang w:eastAsia="ru-RU"/>
              </w:rPr>
              <w:t xml:space="preserve">1) путем личного посещения Уполномоченного органа;</w:t>
            </w:r>
          </w:p>
          <w:p>
            <w:pPr>
              <w:widowControl w:val="off"/>
              <w:contextualSpacing/>
              <w:jc w:val="both"/>
            </w:pPr>
            <w:r>
              <w:rPr>
                <w:rFonts w:eastAsiaTheme="minorEastAsia"/>
                <w:color w:val="000000" w:themeColor="text1"/>
                <w:sz w:val="24"/>
                <w:szCs w:val="24"/>
                <w:lang w:eastAsia="ru-RU"/>
              </w:rPr>
              <w:t xml:space="preserve">2) путем личного посещения МФЦ.</w:t>
            </w:r>
          </w:p>
        </w:tc>
      </w:tr>
      <w:tr>
        <w:trPr>
          <w:trHeight w:val="43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 заявителях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jc w:val="both"/>
              <w:rPr>
                <w:color w:val="ff0000"/>
                <w:szCs w:val="20"/>
              </w:rPr>
            </w:pPr>
            <w:r>
              <w:rPr>
                <w:rFonts w:ascii="Times New Roman CYR" w:hAnsi="Times New Roman CYR" w:cs="Times New Roman CYR"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региональные спортивные федерации, местные спортивные федерации, физкультурно-спортивные организации, включенные в перечень</w:t>
            </w:r>
          </w:p>
        </w:tc>
      </w:tr>
      <w:tr>
        <w:trPr>
          <w:trHeight w:val="52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Возможность подачи услуги представителем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 w:val="22"/>
              </w:rPr>
              <w:t xml:space="preserve">Да</w:t>
            </w:r>
            <w:r>
              <w:rPr>
                <w:szCs w:val="20"/>
              </w:rPr>
              <w:t xml:space="preserve">.</w:t>
            </w: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Документы, предоставляемые заявителем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tabs>
                <w:tab w:val="left" w:pos="709"/>
              </w:tabs>
              <w:jc w:val="both"/>
              <w:outlineLvl w:val="2"/>
              <w:rPr>
                <w:szCs w:val="20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заявление о лишении квалификационной категории</w:t>
            </w:r>
            <w:r>
              <w:rPr>
                <w:szCs w:val="20"/>
              </w:rPr>
              <w:t xml:space="preserve">;</w:t>
            </w:r>
          </w:p>
          <w:p>
            <w:pPr>
              <w:widowControl w:val="off"/>
              <w:tabs>
                <w:tab w:val="left" w:pos="709"/>
              </w:tabs>
              <w:jc w:val="both"/>
              <w:outlineLvl w:val="2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документ, удостоверяющий личность гражданина Российской Федерации или иной документ, удостоверяющий личность гражданина Российской Федерации</w:t>
            </w:r>
            <w:r>
              <w:rPr>
                <w:color w:val="000000" w:themeColor="text1"/>
                <w:sz w:val="22"/>
              </w:rPr>
              <w:t xml:space="preserve">;</w:t>
            </w:r>
          </w:p>
          <w:p>
            <w:pPr>
              <w:widowControl w:val="off"/>
              <w:tabs>
                <w:tab w:val="left" w:pos="709"/>
              </w:tabs>
              <w:jc w:val="both"/>
              <w:outlineLvl w:val="2"/>
              <w:rPr>
                <w:szCs w:val="20"/>
              </w:rPr>
            </w:pPr>
            <w:r>
              <w:rPr>
                <w:color w:val="000000" w:themeColor="text1"/>
                <w:sz w:val="24"/>
                <w:highlight w:val="white"/>
              </w:rPr>
              <w:t xml:space="preserve">документ, подтверждающий полномочия представителя заявителя</w:t>
            </w:r>
            <w:r>
              <w:rPr>
                <w:color w:val="000000" w:themeColor="text1"/>
                <w:sz w:val="24"/>
              </w:rPr>
              <w:t xml:space="preserve">.</w:t>
            </w: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Наличие электронного межведомственного взаимодействия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 w:val="22"/>
              </w:rPr>
              <w:t xml:space="preserve">Нет</w:t>
            </w:r>
            <w:r>
              <w:rPr>
                <w:szCs w:val="20"/>
              </w:rPr>
              <w:t xml:space="preserve">.</w:t>
            </w:r>
          </w:p>
        </w:tc>
      </w:tr>
      <w:tr>
        <w:trPr>
          <w:trHeight w:val="316"/>
        </w:trPr>
        <w:tc>
          <w:tcPr>
            <w:tcW w:w="103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Сведения о</w:t>
            </w:r>
            <w:r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</w:rPr>
              <w:t xml:space="preserve">подуслуге</w:t>
            </w:r>
            <w:r>
              <w:rPr>
                <w:b/>
                <w:sz w:val="22"/>
              </w:rPr>
              <w:t xml:space="preserve"> 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color w:val="ff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ConsPlusNormal"/>
              <w:contextualSpacing/>
              <w:rPr>
                <w:rFonts w:ascii="Times New Roman" w:hAnsi="Times New Roman" w:cs="Times New Roman"/>
                <w:b/>
                <w:color w:val="ff000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Восстановление  квалификационной категории спортивных судей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Код цели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5600000000171725969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Код процедуры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5600000000171725625</w:t>
            </w:r>
          </w:p>
        </w:tc>
      </w:tr>
      <w:tr>
        <w:trPr>
          <w:trHeight w:val="340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Сроки оказания 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right="-1"/>
              <w:jc w:val="both"/>
              <w:rPr>
                <w:sz w:val="22"/>
                <w:highlight w:val="white"/>
              </w:rPr>
            </w:pPr>
            <w:r>
              <w:rPr>
                <w:color w:val="000000" w:themeColor="text1"/>
                <w:szCs w:val="28"/>
                <w:highlight w:val="white"/>
              </w:rPr>
              <w:t xml:space="preserve">2 месяца и 5 рабочих дней со дня поступления запроса</w:t>
            </w:r>
          </w:p>
        </w:tc>
      </w:tr>
      <w:tr>
        <w:trPr>
          <w:trHeight w:val="55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Способ выдачи результата оказания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contextualSpacing/>
              <w:jc w:val="both"/>
              <w:rPr>
                <w:rFonts w:eastAsiaTheme="minorEastAsi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  <w:lang w:eastAsia="ru-RU"/>
              </w:rPr>
              <w:t xml:space="preserve">1) путем личного посещения Уполномоченного органа;</w:t>
            </w:r>
          </w:p>
          <w:p>
            <w:pPr>
              <w:widowControl w:val="off"/>
              <w:contextualSpacing/>
              <w:jc w:val="both"/>
            </w:pPr>
            <w:r>
              <w:rPr>
                <w:rFonts w:eastAsiaTheme="minorEastAsia"/>
                <w:color w:val="000000" w:themeColor="text1"/>
                <w:sz w:val="24"/>
                <w:szCs w:val="24"/>
                <w:lang w:eastAsia="ru-RU"/>
              </w:rPr>
              <w:t xml:space="preserve">2) путем личного посещения МФЦ.</w:t>
            </w:r>
          </w:p>
        </w:tc>
      </w:tr>
      <w:tr>
        <w:trPr>
          <w:trHeight w:val="43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 заявителях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jc w:val="both"/>
              <w:rPr>
                <w:color w:val="ff0000"/>
                <w:szCs w:val="20"/>
              </w:rPr>
            </w:pPr>
            <w:r>
              <w:rPr>
                <w:rFonts w:ascii="Times New Roman CYR" w:hAnsi="Times New Roman CYR" w:cs="Times New Roman CYR"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региональные спортивные федерации, местные спортивные федерации, физкультурно-спортивные организации, включенные в перечень</w:t>
            </w:r>
          </w:p>
        </w:tc>
      </w:tr>
      <w:tr>
        <w:trPr>
          <w:trHeight w:val="52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Возможность подачи услуги представителем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 w:val="22"/>
              </w:rPr>
              <w:t xml:space="preserve">Да</w:t>
            </w:r>
            <w:r>
              <w:rPr>
                <w:szCs w:val="20"/>
              </w:rPr>
              <w:t xml:space="preserve">.</w:t>
            </w: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Документы, предоставляемые заявителем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tabs>
                <w:tab w:val="left" w:pos="709"/>
              </w:tabs>
              <w:jc w:val="both"/>
              <w:outlineLvl w:val="2"/>
              <w:rPr>
                <w:szCs w:val="20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заявление о восстановлении квалификационной категории</w:t>
            </w:r>
            <w:r>
              <w:rPr>
                <w:szCs w:val="20"/>
              </w:rPr>
              <w:t xml:space="preserve">;</w:t>
            </w:r>
          </w:p>
          <w:p>
            <w:pPr>
              <w:widowControl w:val="off"/>
              <w:tabs>
                <w:tab w:val="left" w:pos="709"/>
              </w:tabs>
              <w:jc w:val="both"/>
              <w:outlineLvl w:val="2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highlight w:val="white"/>
              </w:rPr>
              <w:t xml:space="preserve">документ, удостоверяющий личность гражданина Российской Федерации или иной документ, удостоверяющий личность гражданина Российской Федерации</w:t>
            </w:r>
            <w:r>
              <w:rPr>
                <w:color w:val="000000" w:themeColor="text1"/>
                <w:sz w:val="22"/>
              </w:rPr>
              <w:t xml:space="preserve">;</w:t>
            </w:r>
          </w:p>
          <w:p>
            <w:pPr>
              <w:widowControl w:val="off"/>
              <w:tabs>
                <w:tab w:val="left" w:pos="709"/>
              </w:tabs>
              <w:jc w:val="both"/>
              <w:outlineLvl w:val="2"/>
              <w:rPr>
                <w:szCs w:val="20"/>
              </w:rPr>
            </w:pPr>
            <w:r>
              <w:rPr>
                <w:color w:val="000000" w:themeColor="text1"/>
                <w:sz w:val="24"/>
                <w:highlight w:val="white"/>
              </w:rPr>
              <w:t xml:space="preserve">документ, подтверждающий полномочия представителя заявителя</w:t>
            </w:r>
            <w:r>
              <w:rPr>
                <w:color w:val="000000" w:themeColor="text1"/>
                <w:sz w:val="24"/>
              </w:rPr>
              <w:t xml:space="preserve">.</w:t>
            </w: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Наличие электронного межведомственного взаимодействия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 w:val="22"/>
              </w:rPr>
              <w:t xml:space="preserve">Нет</w:t>
            </w:r>
            <w:r>
              <w:rPr>
                <w:szCs w:val="20"/>
              </w:rPr>
              <w:t xml:space="preserve">.</w:t>
            </w:r>
          </w:p>
        </w:tc>
      </w:tr>
    </w:tbl>
    <w:p>
      <w:pPr>
        <w:rPr>
          <w:color w:val="ff0000"/>
        </w:rPr>
      </w:pPr>
    </w:p>
    <w:p>
      <w:pPr>
        <w:rPr>
          <w:color w:val="ff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34"/>
        <w:gridCol w:w="3429"/>
        <w:gridCol w:w="333"/>
        <w:gridCol w:w="1559"/>
      </w:tblGrid>
      <w:tr>
        <w:tc>
          <w:tcPr>
            <w:tcW w:w="283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rPr>
                <w:color w:val="ff0000"/>
              </w:rPr>
            </w:pPr>
          </w:p>
        </w:tc>
        <w:tc>
          <w:tcPr>
            <w:tcW w:w="234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/</w:t>
            </w:r>
          </w:p>
        </w:tc>
        <w:tc>
          <w:tcPr>
            <w:tcW w:w="342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rPr>
                <w:color w:val="ff0000"/>
              </w:rPr>
            </w:pPr>
          </w:p>
        </w:tc>
        <w:tc>
          <w:tcPr>
            <w:tcW w:w="333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rPr>
                <w:color w:val="ff0000"/>
              </w:rPr>
            </w:pPr>
          </w:p>
        </w:tc>
        <w:tc>
          <w:tcPr>
            <w:tcW w:w="155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rPr>
                <w:color w:val="ff0000"/>
              </w:rPr>
            </w:pPr>
          </w:p>
        </w:tc>
      </w:tr>
      <w:tr>
        <w:tc>
          <w:tcPr>
            <w:tcW w:w="2835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16"/>
              </w:rPr>
              <w:t xml:space="preserve">Ф.И.О.</w:t>
            </w:r>
          </w:p>
        </w:tc>
        <w:tc>
          <w:tcPr>
            <w:tcW w:w="234" w:type="dxa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29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16"/>
              </w:rPr>
              <w:t xml:space="preserve">должность руководителя</w:t>
            </w:r>
          </w:p>
        </w:tc>
        <w:tc>
          <w:tcPr>
            <w:tcW w:w="333" w:type="dxa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559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16"/>
              </w:rPr>
              <w:t xml:space="preserve">подпись</w:t>
            </w:r>
            <w:r>
              <w:rPr>
                <w:rStyle w:val="afa"/>
                <w:sz w:val="16"/>
                <w:szCs w:val="16"/>
              </w:rPr>
              <w:endnoteReference w:id="1"/>
            </w:r>
          </w:p>
        </w:tc>
      </w:tr>
    </w:tbl>
    <w:p>
      <w:pPr>
        <w:rPr>
          <w:sz w:val="12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"/>
        <w:gridCol w:w="315"/>
        <w:gridCol w:w="110"/>
        <w:gridCol w:w="1130"/>
        <w:gridCol w:w="284"/>
        <w:gridCol w:w="425"/>
        <w:gridCol w:w="284"/>
        <w:gridCol w:w="1987"/>
      </w:tblGrid>
      <w:tr>
        <w:tc>
          <w:tcPr>
            <w:tcW w:w="146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sz w:val="18"/>
                <w:szCs w:val="16"/>
              </w:rPr>
              <w:t xml:space="preserve">«</w:t>
            </w:r>
          </w:p>
        </w:tc>
        <w:tc>
          <w:tcPr>
            <w:tcW w:w="31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0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»</w:t>
            </w:r>
          </w:p>
        </w:tc>
        <w:tc>
          <w:tcPr>
            <w:tcW w:w="113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284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42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284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sz w:val="18"/>
                <w:szCs w:val="16"/>
              </w:rPr>
              <w:t xml:space="preserve">г.</w:t>
            </w:r>
          </w:p>
        </w:tc>
        <w:tc>
          <w:tcPr>
            <w:tcW w:w="1987" w:type="dxa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  <w:tr>
        <w:tc>
          <w:tcPr>
            <w:tcW w:w="2694" w:type="dxa"/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16"/>
                <w:szCs w:val="24"/>
              </w:rPr>
            </w:pPr>
          </w:p>
        </w:tc>
        <w:tc>
          <w:tcPr>
            <w:tcW w:w="198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</w:t>
            </w:r>
          </w:p>
        </w:tc>
      </w:tr>
    </w:tbl>
    <w:p>
      <w:pPr>
        <w:rPr>
          <w:color w:val="ff0000"/>
        </w:rPr>
      </w:pPr>
    </w:p>
    <w:sectPr>
      <w:footerReference w:type="default" r:id="rId9"/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id="1">
    <w:p>
      <w:pPr>
        <w:pStyle w:val="af8"/>
        <w:rPr>
          <w:rFonts w:ascii="Times New Roman" w:hAnsi="Times New Roman"/>
          <w:sz w:val="16"/>
          <w:szCs w:val="16"/>
          <w:lang w:val="ru-RU"/>
        </w:rPr>
      </w:pPr>
      <w:r>
        <w:rPr>
          <w:rStyle w:val="afa"/>
          <w:rFonts w:ascii="Times New Roman" w:hAnsi="Times New Roman"/>
          <w:sz w:val="16"/>
          <w:szCs w:val="16"/>
        </w:rPr>
        <w:endnoteRef/>
      </w:r>
      <w:r>
        <w:rPr>
          <w:rFonts w:ascii="Times New Roman" w:hAnsi="Times New Roman"/>
          <w:sz w:val="16"/>
          <w:szCs w:val="16"/>
          <w:lang w:val="ru-RU"/>
        </w:rPr>
        <w:t xml:space="preserve"> Подпись и печать необходимы при подаче заявления в бумажном виде. При подаче в электронном виде заявок, подписанных ЭП, подпись и печать ставить не требуется.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00603000000000000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5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78E68E2A">
      <w:start w:val="1"/>
      <w:numFmt w:val="decimal"/>
      <w:lvlText w:val="%1)"/>
      <w:lvlJc w:val="left"/>
      <w:pPr>
        <w:ind w:left="720" w:hanging="360"/>
      </w:pPr>
      <w:rPr>
        <w:rFonts w:hint="default" w:ascii="Times New Roman" w:hAnsi="Times New Roman" w:cs="Times New Roman"/>
        <w:color w:val="000000" w:themeColor="text1"/>
        <w:sz w:val="22"/>
      </w:rPr>
    </w:lvl>
    <w:lvl w:ilvl="1" w:tplc="595A3ADE">
      <w:start w:val="1"/>
      <w:numFmt w:val="lowerLetter"/>
      <w:lvlText w:val="%2."/>
      <w:lvlJc w:val="left"/>
      <w:pPr>
        <w:ind w:left="1440" w:hanging="360"/>
      </w:pPr>
    </w:lvl>
    <w:lvl w:ilvl="2" w:tplc="E1A29006">
      <w:start w:val="1"/>
      <w:numFmt w:val="lowerRoman"/>
      <w:lvlText w:val="%3."/>
      <w:lvlJc w:val="right"/>
      <w:pPr>
        <w:ind w:left="2160" w:hanging="180"/>
      </w:pPr>
    </w:lvl>
    <w:lvl w:ilvl="3" w:tplc="9B4416E8">
      <w:start w:val="1"/>
      <w:numFmt w:val="decimal"/>
      <w:lvlText w:val="%4."/>
      <w:lvlJc w:val="left"/>
      <w:pPr>
        <w:ind w:left="2880" w:hanging="360"/>
      </w:pPr>
    </w:lvl>
    <w:lvl w:ilvl="4" w:tplc="3530F344">
      <w:start w:val="1"/>
      <w:numFmt w:val="lowerLetter"/>
      <w:lvlText w:val="%5."/>
      <w:lvlJc w:val="left"/>
      <w:pPr>
        <w:ind w:left="3600" w:hanging="360"/>
      </w:pPr>
    </w:lvl>
    <w:lvl w:ilvl="5" w:tplc="34D88FF4">
      <w:start w:val="1"/>
      <w:numFmt w:val="lowerRoman"/>
      <w:lvlText w:val="%6."/>
      <w:lvlJc w:val="right"/>
      <w:pPr>
        <w:ind w:left="4320" w:hanging="180"/>
      </w:pPr>
    </w:lvl>
    <w:lvl w:ilvl="6" w:tplc="1A408EF8">
      <w:start w:val="1"/>
      <w:numFmt w:val="decimal"/>
      <w:lvlText w:val="%7."/>
      <w:lvlJc w:val="left"/>
      <w:pPr>
        <w:ind w:left="5040" w:hanging="360"/>
      </w:pPr>
    </w:lvl>
    <w:lvl w:ilvl="7" w:tplc="2DF0D246">
      <w:start w:val="1"/>
      <w:numFmt w:val="lowerLetter"/>
      <w:lvlText w:val="%8."/>
      <w:lvlJc w:val="left"/>
      <w:pPr>
        <w:ind w:left="5760" w:hanging="360"/>
      </w:pPr>
    </w:lvl>
    <w:lvl w:ilvl="8" w:tplc="87C2C49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Times New Roman" w:hAnsi="Times New Roman" w:eastAsia="Times New Roman" w:cs="Times New Roman"/>
      <w:sz w:val="20"/>
      <w:lang w:bidi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noteTextChar" w:customStyle="1">
    <w:name w:val="Footnote Text Char"/>
    <w:uiPriority w:val="99"/>
    <w:rPr>
      <w:sz w:val="18"/>
    </w:rPr>
  </w:style>
  <w:style w:type="character" w:styleId="10" w:customStyle="1">
    <w:name w:val="Заголовок 1 Знак"/>
    <w:basedOn w:val="a0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basedOn w:val="a0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basedOn w:val="a0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basedOn w:val="a0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basedOn w:val="a0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basedOn w:val="a0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basedOn w:val="a0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basedOn w:val="a0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a6" w:customStyle="1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styleId="a8" w:customStyle="1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styleId="ac" w:customStyle="1">
    <w:name w:val="Верхний колонтитул Знак"/>
    <w:basedOn w:val="a0"/>
    <w:link w:val="ab"/>
    <w:uiPriority w:val="99"/>
  </w:style>
  <w:style w:type="character" w:styleId="FooterChar" w:customStyle="1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CaptionChar" w:customStyle="1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Light" w:customStyle="1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band1Horz">
      <w:tcPr>
        <w:shd w:val="clear" w:color="b3d0eb" w:themeColor="accent1" w:themeTint="75" w:fill="b3d0eb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band1Horz">
      <w:tcPr>
        <w:shd w:val="clear" w:color="ffe28a" w:themeColor="accent4" w:themeTint="75" w:fill="ffe28a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band1Horz">
      <w:tcPr>
        <w:shd w:val="clear" w:color="a9bee4" w:themeColor="accent5" w:themeTint="75" w:fill="a9be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tcPr>
        <w:shd w:val="clear" w:color="ffefbf" w:themeColor="accent4" w:themeTint="40" w:fill="ffefbf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tcPr>
        <w:shd w:val="clear" w:color="cfdbf0" w:themeColor="accent5" w:themeTint="40" w:fill="cfdb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styleId="ListTable5Dark-Accent2" w:customStyle="1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DA9DB" w:themeColor="accent5" w:themeTint="9A" w:sz="32" w:space="0"/>
          <w:bottom w:val="single" w:color="FFFFFF" w:themeColor="light1" w:sz="12" w:space="0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Lined-Accent2" w:customStyle="1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Lined-Accent3" w:customStyle="1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Lined-Accent4" w:customStyle="1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Lined-Accent5" w:customStyle="1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Lined-Accent6" w:customStyle="1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" w:customStyle="1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styleId="af1" w:customStyle="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character" w:styleId="EndnoteTextChar" w:customStyle="1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footer"/>
    <w:basedOn w:val="a"/>
    <w:link w:val="af6"/>
    <w:pPr>
      <w:tabs>
        <w:tab w:val="center" w:pos="4153"/>
        <w:tab w:val="right" w:pos="8306"/>
      </w:tabs>
    </w:pPr>
    <w:rPr>
      <w:lang w:val="en-US"/>
    </w:rPr>
  </w:style>
  <w:style w:type="character" w:styleId="af6" w:customStyle="1">
    <w:name w:val="Нижний колонтитул Знак"/>
    <w:basedOn w:val="a0"/>
    <w:link w:val="af5"/>
    <w:rPr>
      <w:rFonts w:ascii="Times New Roman" w:hAnsi="Times New Roman" w:eastAsia="Times New Roman" w:cs="Times New Roman"/>
      <w:sz w:val="20"/>
      <w:lang w:val="en-US" w:bidi="en-US"/>
    </w:rPr>
  </w:style>
  <w:style w:type="paragraph" w:styleId="af7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endnote text"/>
    <w:basedOn w:val="a"/>
    <w:link w:val="af9"/>
    <w:rPr>
      <w:rFonts w:ascii="Calibri" w:hAnsi="Calibri"/>
      <w:lang w:val="en-US"/>
    </w:rPr>
  </w:style>
  <w:style w:type="character" w:styleId="af9" w:customStyle="1">
    <w:name w:val="Текст концевой сноски Знак"/>
    <w:basedOn w:val="a0"/>
    <w:link w:val="af8"/>
    <w:rPr>
      <w:rFonts w:ascii="Calibri" w:hAnsi="Calibri" w:eastAsia="Times New Roman" w:cs="Times New Roman"/>
      <w:sz w:val="20"/>
      <w:lang w:val="en-US" w:bidi="en-US"/>
    </w:rPr>
  </w:style>
  <w:style w:type="character" w:styleId="afa">
    <w:name w:val="endnote reference"/>
    <w:semiHidden/>
    <w:rPr>
      <w:vertAlign w:val="superscript"/>
    </w:rPr>
  </w:style>
  <w:style w:type="paragraph" w:styleId="ConsPlusNormal" w:customStyle="1">
    <w:name w:val="ConsPlusNormal"/>
    <w:link w:val="ConsPlusNormal0"/>
    <w:pPr>
      <w:widowControl w:val="off"/>
      <w:spacing w:after="0" w:line="240" w:lineRule="auto"/>
    </w:pPr>
    <w:rPr>
      <w:rFonts w:ascii="Calibri" w:hAnsi="Calibri" w:eastAsia="Times New Roman" w:cs="Calibri"/>
      <w:szCs w:val="20"/>
      <w:lang w:eastAsia="ru-RU"/>
    </w:rPr>
  </w:style>
  <w:style w:type="character" w:styleId="ConsPlusNormal0" w:customStyle="1">
    <w:name w:val="ConsPlusNormal Знак"/>
    <w:link w:val="ConsPlusNormal"/>
    <w:rPr>
      <w:rFonts w:ascii="Calibri" w:hAnsi="Calibri" w:eastAsia="Times New Roman" w:cs="Calibri"/>
      <w:szCs w:val="20"/>
      <w:lang w:eastAsia="ru-RU"/>
    </w:rPr>
  </w:style>
  <w:style w:type="character" w:styleId="afb" w:customStyle="1">
    <w:name w:val="Цветовое выделение для Текст"/>
    <w:uiPriority w:val="99"/>
    <w:qFormat/>
    <w:rPr>
      <w:rFonts w:ascii="Times New Roman CYR" w:hAnsi="Times New Roman CYR" w:cs="Times New Roman CY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3122</Characters>
  <CharactersWithSpaces>3662</CharactersWithSpaces>
  <Company/>
  <DocSecurity>0</DocSecurity>
  <HyperlinksChanged>false</HyperlinksChanged>
  <Lines>26</Lines>
  <LinksUpToDate>false</LinksUpToDate>
  <Pages>2</Pages>
  <Paragraphs>7</Paragraphs>
  <ScaleCrop>false</ScaleCrop>
  <SharedDoc>false</SharedDoc>
  <Template>Normal</Template>
  <TotalTime>2</TotalTime>
  <Words>547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Тонких</dc:creator>
  <cp:keywords/>
  <dc:description/>
  <cp:lastModifiedBy>svm</cp:lastModifiedBy>
  <cp:revision>10</cp:revision>
  <dcterms:created xsi:type="dcterms:W3CDTF">2026-03-12T11:07:00Z</dcterms:created>
  <dcterms:modified xsi:type="dcterms:W3CDTF">2026-03-13T11:47:00Z</dcterms:modified>
</cp:coreProperties>
</file>